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575FE" w:rsidRPr="00137349" w:rsidTr="00896CFC">
        <w:tc>
          <w:tcPr>
            <w:tcW w:w="4786" w:type="dxa"/>
          </w:tcPr>
          <w:p w:rsidR="003575FE" w:rsidRPr="00137349" w:rsidRDefault="003575FE" w:rsidP="00896CFC">
            <w:pPr>
              <w:pStyle w:val="6"/>
              <w:numPr>
                <w:ilvl w:val="12"/>
                <w:numId w:val="0"/>
              </w:numPr>
              <w:spacing w:line="240" w:lineRule="auto"/>
              <w:ind w:right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3575FE" w:rsidRPr="00E5272E" w:rsidRDefault="003575FE" w:rsidP="00896CFC">
            <w:pPr>
              <w:pStyle w:val="6"/>
              <w:numPr>
                <w:ilvl w:val="12"/>
                <w:numId w:val="0"/>
              </w:numPr>
              <w:spacing w:line="240" w:lineRule="auto"/>
              <w:ind w:right="0"/>
              <w:jc w:val="left"/>
              <w:rPr>
                <w:b w:val="0"/>
                <w:szCs w:val="24"/>
                <w:lang w:val="uk-UA"/>
              </w:rPr>
            </w:pPr>
            <w:r w:rsidRPr="00E5272E">
              <w:rPr>
                <w:b w:val="0"/>
                <w:szCs w:val="24"/>
                <w:lang w:val="uk-UA"/>
              </w:rPr>
              <w:t>Затверджено</w:t>
            </w:r>
          </w:p>
          <w:p w:rsidR="003575FE" w:rsidRDefault="003575FE" w:rsidP="00896CFC">
            <w:pPr>
              <w:rPr>
                <w:sz w:val="24"/>
                <w:szCs w:val="24"/>
                <w:lang w:val="ru-RU"/>
              </w:rPr>
            </w:pPr>
            <w:r w:rsidRPr="00E5272E">
              <w:rPr>
                <w:sz w:val="24"/>
                <w:szCs w:val="24"/>
              </w:rPr>
              <w:t>на засіданні Вченої ради</w:t>
            </w:r>
          </w:p>
          <w:p w:rsidR="003575FE" w:rsidRPr="00E5272E" w:rsidRDefault="003575FE" w:rsidP="00896CFC">
            <w:pPr>
              <w:rPr>
                <w:sz w:val="24"/>
                <w:szCs w:val="24"/>
              </w:rPr>
            </w:pPr>
            <w:r w:rsidRPr="00E5272E">
              <w:rPr>
                <w:sz w:val="24"/>
                <w:szCs w:val="24"/>
              </w:rPr>
              <w:t xml:space="preserve">Національного інституту раку </w:t>
            </w:r>
          </w:p>
          <w:p w:rsidR="003575FE" w:rsidRPr="00137349" w:rsidRDefault="003575FE" w:rsidP="00896CFC">
            <w:pPr>
              <w:pStyle w:val="a8"/>
              <w:spacing w:after="0"/>
              <w:rPr>
                <w:sz w:val="28"/>
                <w:szCs w:val="28"/>
              </w:rPr>
            </w:pPr>
            <w:r w:rsidRPr="00E5272E">
              <w:t>Протокол  від                     №</w:t>
            </w:r>
          </w:p>
        </w:tc>
      </w:tr>
    </w:tbl>
    <w:p w:rsidR="003575FE" w:rsidRDefault="003575FE" w:rsidP="003575FE">
      <w:pPr>
        <w:pStyle w:val="6"/>
        <w:numPr>
          <w:ilvl w:val="12"/>
          <w:numId w:val="0"/>
        </w:numPr>
        <w:spacing w:line="240" w:lineRule="auto"/>
        <w:ind w:right="0"/>
        <w:jc w:val="center"/>
        <w:rPr>
          <w:sz w:val="28"/>
          <w:szCs w:val="28"/>
          <w:lang w:val="uk-UA"/>
        </w:rPr>
      </w:pPr>
    </w:p>
    <w:p w:rsidR="003575FE" w:rsidRPr="00E5272E" w:rsidRDefault="003575FE" w:rsidP="003575FE">
      <w:pPr>
        <w:rPr>
          <w:sz w:val="28"/>
          <w:szCs w:val="28"/>
          <w:lang w:val="ru-RU"/>
        </w:rPr>
      </w:pPr>
    </w:p>
    <w:p w:rsidR="003575FE" w:rsidRDefault="003575FE" w:rsidP="003575FE">
      <w:pPr>
        <w:pStyle w:val="6"/>
        <w:numPr>
          <w:ilvl w:val="12"/>
          <w:numId w:val="0"/>
        </w:numPr>
        <w:spacing w:line="240" w:lineRule="auto"/>
        <w:ind w:righ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ПАМ</w:t>
      </w:r>
      <w:r w:rsidRPr="00C74D1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ЯТКА</w:t>
      </w:r>
      <w:r w:rsidRPr="00063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ХВОРИМ</w:t>
      </w:r>
    </w:p>
    <w:p w:rsidR="003575FE" w:rsidRDefault="003575FE" w:rsidP="003575FE">
      <w:pPr>
        <w:pStyle w:val="6"/>
        <w:numPr>
          <w:ilvl w:val="12"/>
          <w:numId w:val="0"/>
        </w:numPr>
        <w:spacing w:line="240" w:lineRule="auto"/>
        <w:ind w:righ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ПУХЛИНУ ГРУДНОЇ ЗАЛОЗИ,</w:t>
      </w:r>
    </w:p>
    <w:p w:rsidR="003575FE" w:rsidRPr="00C74D1E" w:rsidRDefault="003575FE" w:rsidP="003575FE">
      <w:pPr>
        <w:jc w:val="center"/>
        <w:rPr>
          <w:b/>
          <w:sz w:val="28"/>
          <w:szCs w:val="28"/>
        </w:rPr>
      </w:pPr>
      <w:r w:rsidRPr="00C74D1E">
        <w:rPr>
          <w:b/>
          <w:sz w:val="28"/>
          <w:szCs w:val="28"/>
        </w:rPr>
        <w:t>ЯКІ</w:t>
      </w:r>
      <w:r>
        <w:rPr>
          <w:b/>
          <w:sz w:val="28"/>
          <w:szCs w:val="28"/>
        </w:rPr>
        <w:t xml:space="preserve"> ОТРИМУЮТЬ ХІМІОТЕРАПІЮ</w:t>
      </w:r>
    </w:p>
    <w:p w:rsidR="003575FE" w:rsidRDefault="003575FE" w:rsidP="003575FE">
      <w:pPr>
        <w:pStyle w:val="3"/>
        <w:keepNext w:val="0"/>
        <w:numPr>
          <w:ilvl w:val="12"/>
          <w:numId w:val="0"/>
        </w:numPr>
        <w:spacing w:line="240" w:lineRule="auto"/>
        <w:rPr>
          <w:sz w:val="28"/>
          <w:szCs w:val="28"/>
          <w:lang w:val="uk-UA"/>
        </w:rPr>
      </w:pPr>
    </w:p>
    <w:p w:rsidR="003575FE" w:rsidRPr="00E5272E" w:rsidRDefault="003575FE" w:rsidP="003575FE">
      <w:pPr>
        <w:rPr>
          <w:sz w:val="28"/>
          <w:szCs w:val="28"/>
          <w:lang w:val="ru-RU"/>
        </w:rPr>
      </w:pPr>
    </w:p>
    <w:p w:rsidR="003575FE" w:rsidRDefault="003575FE" w:rsidP="003575FE">
      <w:pPr>
        <w:pStyle w:val="2"/>
        <w:spacing w:line="240" w:lineRule="auto"/>
        <w:ind w:firstLine="720"/>
        <w:jc w:val="both"/>
        <w:rPr>
          <w:b w:val="0"/>
          <w:szCs w:val="28"/>
          <w:lang w:val="uk-UA"/>
        </w:rPr>
      </w:pPr>
      <w:r w:rsidRPr="00063FF3">
        <w:rPr>
          <w:b w:val="0"/>
          <w:szCs w:val="28"/>
          <w:lang w:val="uk-UA"/>
        </w:rPr>
        <w:t xml:space="preserve">Шановний пацієнте, </w:t>
      </w:r>
      <w:r>
        <w:rPr>
          <w:b w:val="0"/>
          <w:szCs w:val="28"/>
          <w:lang w:val="uk-UA"/>
        </w:rPr>
        <w:t xml:space="preserve">у </w:t>
      </w:r>
      <w:r w:rsidRPr="00063FF3">
        <w:rPr>
          <w:b w:val="0"/>
          <w:szCs w:val="28"/>
          <w:lang w:val="uk-UA"/>
        </w:rPr>
        <w:t>Ва</w:t>
      </w:r>
      <w:r>
        <w:rPr>
          <w:b w:val="0"/>
          <w:szCs w:val="28"/>
          <w:lang w:val="uk-UA"/>
        </w:rPr>
        <w:t>с діагностовано</w:t>
      </w:r>
      <w:r w:rsidRPr="00063FF3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пухлину грудної залози і Вам </w:t>
      </w:r>
      <w:r w:rsidRPr="00063FF3">
        <w:rPr>
          <w:b w:val="0"/>
          <w:szCs w:val="28"/>
          <w:lang w:val="uk-UA"/>
        </w:rPr>
        <w:t>запропон</w:t>
      </w:r>
      <w:r>
        <w:rPr>
          <w:b w:val="0"/>
          <w:szCs w:val="28"/>
          <w:lang w:val="uk-UA"/>
        </w:rPr>
        <w:t>о</w:t>
      </w:r>
      <w:r w:rsidRPr="00063FF3">
        <w:rPr>
          <w:b w:val="0"/>
          <w:szCs w:val="28"/>
          <w:lang w:val="uk-UA"/>
        </w:rPr>
        <w:t>ва</w:t>
      </w:r>
      <w:r>
        <w:rPr>
          <w:b w:val="0"/>
          <w:szCs w:val="28"/>
          <w:lang w:val="uk-UA"/>
        </w:rPr>
        <w:t>но</w:t>
      </w:r>
      <w:r w:rsidRPr="00063FF3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хіміотерапію, яку планується провести</w:t>
      </w:r>
      <w:r w:rsidRPr="00063FF3">
        <w:rPr>
          <w:b w:val="0"/>
          <w:szCs w:val="28"/>
          <w:lang w:val="uk-UA"/>
        </w:rPr>
        <w:t xml:space="preserve"> у </w:t>
      </w:r>
      <w:r>
        <w:rPr>
          <w:b w:val="0"/>
          <w:szCs w:val="28"/>
          <w:lang w:val="uk-UA"/>
        </w:rPr>
        <w:t>науково-дослідному відділі консервативних методів лікування Національного інституту раку.</w:t>
      </w:r>
    </w:p>
    <w:p w:rsidR="003575FE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розвинутих країнах в структурі онкологічної захворюваності серед жінок пухлини грудної залози займають провідне місце. Захворюваність збільшується. Так, в</w:t>
      </w:r>
      <w:r w:rsidRPr="00094850">
        <w:rPr>
          <w:sz w:val="28"/>
          <w:szCs w:val="28"/>
        </w:rPr>
        <w:t xml:space="preserve"> Україні в 200</w:t>
      </w:r>
      <w:r>
        <w:rPr>
          <w:sz w:val="28"/>
          <w:szCs w:val="28"/>
        </w:rPr>
        <w:t>9</w:t>
      </w:r>
      <w:r w:rsidRPr="00094850">
        <w:rPr>
          <w:sz w:val="28"/>
          <w:szCs w:val="28"/>
        </w:rPr>
        <w:t xml:space="preserve"> р</w:t>
      </w:r>
      <w:r>
        <w:rPr>
          <w:sz w:val="28"/>
          <w:szCs w:val="28"/>
        </w:rPr>
        <w:t>оці</w:t>
      </w:r>
      <w:r w:rsidRPr="00094850">
        <w:rPr>
          <w:sz w:val="28"/>
          <w:szCs w:val="28"/>
        </w:rPr>
        <w:t xml:space="preserve"> зареєстровано 15</w:t>
      </w:r>
      <w:r>
        <w:rPr>
          <w:sz w:val="28"/>
          <w:szCs w:val="28"/>
        </w:rPr>
        <w:t>274</w:t>
      </w:r>
      <w:r w:rsidRPr="00094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нових </w:t>
      </w:r>
      <w:r w:rsidRPr="00094850">
        <w:rPr>
          <w:sz w:val="28"/>
          <w:szCs w:val="28"/>
        </w:rPr>
        <w:t>випадк</w:t>
      </w:r>
      <w:r>
        <w:rPr>
          <w:sz w:val="28"/>
          <w:szCs w:val="28"/>
        </w:rPr>
        <w:t>ів цієї патології, а в 2011 – 17410.</w:t>
      </w:r>
    </w:p>
    <w:p w:rsidR="003575FE" w:rsidRDefault="003575FE" w:rsidP="00357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Більшість хворих на це захворювання отримують комбіноване лікування, яке включає оперативне, променеве та хіміотерапевтичне лікування. При проведенні хіміотерапії перевагу віддають схемам з використанням доксорубіцину та/або таксанів, платини тощо.</w:t>
      </w:r>
    </w:p>
    <w:p w:rsidR="003575FE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Відомо, що хіміотерапевтичне лікування може викликати зміни в аналізі крові, шлунково-кишкові ускладнення (зниження апетиту, діарея, закріп, нудота, блювання, стоматит, гастрит, коліт), в деяких випадках − головний біль, запаморочення, периферичну нейропатію, лихоманку тощо.</w:t>
      </w:r>
    </w:p>
    <w:p w:rsidR="003575FE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Ускладнення хіміотерапії значно погіршують ефективність лікування, оскільки потребують зниження дози протипухлинного препарату або подовження інтервалів між циклами хіміотерапії, що погіршує результати лікування та якість життя.</w:t>
      </w:r>
    </w:p>
    <w:p w:rsidR="003575FE" w:rsidRPr="00CD2B46" w:rsidRDefault="003575FE" w:rsidP="003575FE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Вам планується визначити </w:t>
      </w:r>
      <w:r w:rsidRPr="00CD2B46">
        <w:rPr>
          <w:spacing w:val="1"/>
          <w:sz w:val="28"/>
          <w:szCs w:val="28"/>
        </w:rPr>
        <w:t>комплекс клініко-лабораторних факторів прогнозу токсичності хіміотерапії</w:t>
      </w:r>
      <w:r>
        <w:rPr>
          <w:spacing w:val="1"/>
          <w:sz w:val="28"/>
          <w:szCs w:val="28"/>
          <w:lang w:val="ru-RU"/>
        </w:rPr>
        <w:t xml:space="preserve">. Якщо у Вас буде встановлено високий ризик </w:t>
      </w:r>
      <w:r w:rsidRPr="00CD2B46">
        <w:rPr>
          <w:spacing w:val="1"/>
          <w:sz w:val="28"/>
          <w:szCs w:val="28"/>
        </w:rPr>
        <w:t>розвитку токсичних ускладнень</w:t>
      </w:r>
      <w:r>
        <w:rPr>
          <w:spacing w:val="1"/>
          <w:sz w:val="28"/>
          <w:szCs w:val="28"/>
          <w:lang w:val="ru-RU"/>
        </w:rPr>
        <w:t>, то Вам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lang w:val="ru-RU"/>
        </w:rPr>
        <w:t>буде</w:t>
      </w:r>
      <w:r>
        <w:rPr>
          <w:spacing w:val="1"/>
          <w:sz w:val="28"/>
          <w:szCs w:val="28"/>
        </w:rPr>
        <w:t xml:space="preserve"> за</w:t>
      </w:r>
      <w:r>
        <w:rPr>
          <w:spacing w:val="1"/>
          <w:sz w:val="28"/>
          <w:szCs w:val="28"/>
          <w:lang w:val="ru-RU"/>
        </w:rPr>
        <w:t>пр</w:t>
      </w:r>
      <w:r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  <w:lang w:val="ru-RU"/>
        </w:rPr>
        <w:t>поно</w:t>
      </w:r>
      <w:r>
        <w:rPr>
          <w:spacing w:val="1"/>
          <w:sz w:val="28"/>
          <w:szCs w:val="28"/>
        </w:rPr>
        <w:t>ва</w:t>
      </w:r>
      <w:r>
        <w:rPr>
          <w:spacing w:val="1"/>
          <w:sz w:val="28"/>
          <w:szCs w:val="28"/>
          <w:lang w:val="ru-RU"/>
        </w:rPr>
        <w:t>но застосувати розроблений науковцями нашого інституту</w:t>
      </w:r>
      <w:r>
        <w:rPr>
          <w:spacing w:val="1"/>
          <w:sz w:val="28"/>
          <w:szCs w:val="28"/>
        </w:rPr>
        <w:t xml:space="preserve"> </w:t>
      </w:r>
      <w:r w:rsidRPr="00CD2B46">
        <w:rPr>
          <w:spacing w:val="1"/>
          <w:sz w:val="28"/>
          <w:szCs w:val="28"/>
        </w:rPr>
        <w:t xml:space="preserve">алгоритм терапії супроводу хіміотерапевтичного лікування </w:t>
      </w:r>
      <w:r>
        <w:rPr>
          <w:spacing w:val="1"/>
          <w:sz w:val="28"/>
          <w:szCs w:val="28"/>
        </w:rPr>
        <w:t>залежно від визначеного виду токсичності</w:t>
      </w:r>
      <w:r w:rsidRPr="00CD2B46">
        <w:rPr>
          <w:spacing w:val="1"/>
          <w:sz w:val="28"/>
          <w:szCs w:val="28"/>
        </w:rPr>
        <w:t>.</w:t>
      </w:r>
    </w:p>
    <w:p w:rsidR="003575FE" w:rsidRPr="00C32A93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</w:t>
      </w:r>
      <w:r w:rsidRPr="00C32A93">
        <w:rPr>
          <w:sz w:val="28"/>
          <w:szCs w:val="28"/>
        </w:rPr>
        <w:t>спрямован</w:t>
      </w:r>
      <w:r>
        <w:rPr>
          <w:sz w:val="28"/>
          <w:szCs w:val="28"/>
        </w:rPr>
        <w:t>о</w:t>
      </w:r>
      <w:r w:rsidRPr="00C32A93">
        <w:rPr>
          <w:sz w:val="28"/>
          <w:szCs w:val="28"/>
        </w:rPr>
        <w:t xml:space="preserve"> на попередження</w:t>
      </w:r>
      <w:r>
        <w:rPr>
          <w:sz w:val="28"/>
          <w:szCs w:val="28"/>
        </w:rPr>
        <w:t xml:space="preserve"> </w:t>
      </w:r>
      <w:r w:rsidRPr="00C32A93">
        <w:rPr>
          <w:sz w:val="28"/>
          <w:szCs w:val="28"/>
        </w:rPr>
        <w:t>ускладнень протипухлинної терапії</w:t>
      </w:r>
      <w:r>
        <w:rPr>
          <w:sz w:val="28"/>
          <w:szCs w:val="28"/>
        </w:rPr>
        <w:t xml:space="preserve"> або</w:t>
      </w:r>
      <w:r w:rsidRPr="00C32A93">
        <w:rPr>
          <w:sz w:val="28"/>
          <w:szCs w:val="28"/>
        </w:rPr>
        <w:t xml:space="preserve"> з</w:t>
      </w:r>
      <w:r>
        <w:rPr>
          <w:sz w:val="28"/>
          <w:szCs w:val="28"/>
        </w:rPr>
        <w:t>менш</w:t>
      </w:r>
      <w:r w:rsidRPr="00C32A93">
        <w:rPr>
          <w:sz w:val="28"/>
          <w:szCs w:val="28"/>
        </w:rPr>
        <w:t xml:space="preserve">ення </w:t>
      </w:r>
      <w:r>
        <w:rPr>
          <w:sz w:val="28"/>
          <w:szCs w:val="28"/>
        </w:rPr>
        <w:t>їх проявів</w:t>
      </w:r>
      <w:r w:rsidRPr="00C32A93">
        <w:rPr>
          <w:sz w:val="28"/>
          <w:szCs w:val="28"/>
        </w:rPr>
        <w:t xml:space="preserve">, що сприятиме покращанню якості </w:t>
      </w:r>
      <w:r>
        <w:rPr>
          <w:sz w:val="28"/>
          <w:szCs w:val="28"/>
        </w:rPr>
        <w:t xml:space="preserve">Вашого </w:t>
      </w:r>
      <w:r w:rsidRPr="00C32A93">
        <w:rPr>
          <w:sz w:val="28"/>
          <w:szCs w:val="28"/>
        </w:rPr>
        <w:t>життя та загального стану.</w:t>
      </w:r>
    </w:p>
    <w:p w:rsidR="003575FE" w:rsidRPr="00C32A93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в практичну діяльність алгоритму терапії супроводу</w:t>
      </w:r>
      <w:r w:rsidRPr="00C32A93">
        <w:rPr>
          <w:sz w:val="28"/>
          <w:szCs w:val="28"/>
        </w:rPr>
        <w:t xml:space="preserve"> не потребуватиме вимушеної перерви у лікувальному процесі</w:t>
      </w:r>
      <w:r>
        <w:rPr>
          <w:sz w:val="28"/>
          <w:szCs w:val="28"/>
        </w:rPr>
        <w:t xml:space="preserve"> або зниження дози хіміопрепарату</w:t>
      </w:r>
      <w:r w:rsidRPr="00C32A93">
        <w:rPr>
          <w:sz w:val="28"/>
          <w:szCs w:val="28"/>
        </w:rPr>
        <w:t xml:space="preserve"> </w:t>
      </w:r>
      <w:r>
        <w:rPr>
          <w:sz w:val="28"/>
          <w:szCs w:val="28"/>
        </w:rPr>
        <w:t>та б</w:t>
      </w:r>
      <w:r w:rsidRPr="00C32A93">
        <w:rPr>
          <w:sz w:val="28"/>
          <w:szCs w:val="28"/>
        </w:rPr>
        <w:t>уде відігравати важливу роль в досягненні та збереженні позитивних результатів хіміотерапії.</w:t>
      </w:r>
    </w:p>
    <w:p w:rsidR="003575FE" w:rsidRDefault="003575FE" w:rsidP="003575F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575FE" w:rsidRPr="00063FF3" w:rsidRDefault="003575FE" w:rsidP="003575F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Опис дослідження</w:t>
      </w:r>
    </w:p>
    <w:p w:rsidR="003575FE" w:rsidRDefault="003575FE" w:rsidP="003575FE">
      <w:pPr>
        <w:ind w:firstLine="709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Дослідження виконується відповідно до вимог, що запропоновані Державним Фармакологічним центром М</w:t>
      </w:r>
      <w:r>
        <w:rPr>
          <w:sz w:val="28"/>
          <w:szCs w:val="28"/>
        </w:rPr>
        <w:t>О</w:t>
      </w:r>
      <w:r w:rsidRPr="00063FF3">
        <w:rPr>
          <w:sz w:val="28"/>
          <w:szCs w:val="28"/>
        </w:rPr>
        <w:t xml:space="preserve">З України до </w:t>
      </w:r>
      <w:r>
        <w:rPr>
          <w:sz w:val="28"/>
          <w:szCs w:val="28"/>
        </w:rPr>
        <w:t>науково-дослідних робіт</w:t>
      </w:r>
      <w:r w:rsidRPr="00063FF3">
        <w:rPr>
          <w:sz w:val="28"/>
          <w:szCs w:val="28"/>
        </w:rPr>
        <w:t xml:space="preserve">. </w:t>
      </w:r>
      <w:r w:rsidRPr="00DD1D7A">
        <w:rPr>
          <w:sz w:val="28"/>
          <w:szCs w:val="28"/>
        </w:rPr>
        <w:t xml:space="preserve">У </w:t>
      </w:r>
      <w:r w:rsidRPr="00063FF3">
        <w:rPr>
          <w:sz w:val="28"/>
          <w:szCs w:val="28"/>
        </w:rPr>
        <w:t>це дослідження буде включено паці</w:t>
      </w:r>
      <w:r>
        <w:rPr>
          <w:sz w:val="28"/>
          <w:szCs w:val="28"/>
        </w:rPr>
        <w:t>є</w:t>
      </w:r>
      <w:r w:rsidRPr="00063FF3">
        <w:rPr>
          <w:sz w:val="28"/>
          <w:szCs w:val="28"/>
        </w:rPr>
        <w:t>нт</w:t>
      </w:r>
      <w:r>
        <w:rPr>
          <w:sz w:val="28"/>
          <w:szCs w:val="28"/>
        </w:rPr>
        <w:t>ок, у яких будуть виявлені клінічні, лабораторні та/або молекулярно-генетичні фактори прогнозу токсичності хіміопрепаратів.</w:t>
      </w:r>
    </w:p>
    <w:p w:rsidR="003575FE" w:rsidRDefault="003575FE" w:rsidP="003575FE">
      <w:pPr>
        <w:ind w:firstLine="709"/>
        <w:jc w:val="both"/>
        <w:rPr>
          <w:sz w:val="28"/>
          <w:szCs w:val="28"/>
        </w:rPr>
      </w:pPr>
      <w:r w:rsidRPr="003B650A">
        <w:rPr>
          <w:sz w:val="28"/>
          <w:szCs w:val="28"/>
        </w:rPr>
        <w:t xml:space="preserve">Усім хворим буде призначено </w:t>
      </w:r>
      <w:r>
        <w:rPr>
          <w:sz w:val="28"/>
          <w:szCs w:val="28"/>
        </w:rPr>
        <w:t xml:space="preserve">від 4 від </w:t>
      </w:r>
      <w:r w:rsidRPr="003B650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стандартних </w:t>
      </w:r>
      <w:r w:rsidRPr="003B650A">
        <w:rPr>
          <w:sz w:val="28"/>
          <w:szCs w:val="28"/>
        </w:rPr>
        <w:t>курсів поліхіміотерапії</w:t>
      </w:r>
      <w:r>
        <w:rPr>
          <w:sz w:val="28"/>
          <w:szCs w:val="28"/>
        </w:rPr>
        <w:t>, які, за необхідності, будуть проводитися на тлі терапії супроводу</w:t>
      </w:r>
      <w:r w:rsidRPr="00C7455C">
        <w:rPr>
          <w:sz w:val="28"/>
          <w:szCs w:val="28"/>
        </w:rPr>
        <w:t>.</w:t>
      </w:r>
    </w:p>
    <w:p w:rsidR="003575FE" w:rsidRPr="00063FF3" w:rsidRDefault="003575FE" w:rsidP="003575FE">
      <w:pPr>
        <w:ind w:firstLine="709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Це Ваше право вирішувати брати чи ні участь у цьому дослідженні. При </w:t>
      </w:r>
      <w:r>
        <w:rPr>
          <w:sz w:val="28"/>
          <w:szCs w:val="28"/>
        </w:rPr>
        <w:t xml:space="preserve">виявленні факторів токсичності і </w:t>
      </w:r>
      <w:r w:rsidRPr="00063FF3">
        <w:rPr>
          <w:sz w:val="28"/>
          <w:szCs w:val="28"/>
        </w:rPr>
        <w:t>позитивному рішенні Вам буде необхідно підписати прикладену форму згоди.</w:t>
      </w:r>
    </w:p>
    <w:p w:rsidR="003575FE" w:rsidRPr="00063FF3" w:rsidRDefault="003575FE" w:rsidP="003575FE">
      <w:p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До включення в дослідження Ви пройдете обстеження </w:t>
      </w:r>
      <w:r>
        <w:rPr>
          <w:sz w:val="28"/>
          <w:szCs w:val="28"/>
        </w:rPr>
        <w:t>за</w:t>
      </w:r>
      <w:r w:rsidRPr="00063FF3">
        <w:rPr>
          <w:sz w:val="28"/>
          <w:szCs w:val="28"/>
        </w:rPr>
        <w:t xml:space="preserve"> загальноприйнят</w:t>
      </w:r>
      <w:r>
        <w:rPr>
          <w:sz w:val="28"/>
          <w:szCs w:val="28"/>
        </w:rPr>
        <w:t>ою</w:t>
      </w:r>
      <w:r w:rsidRPr="00063FF3">
        <w:rPr>
          <w:sz w:val="28"/>
          <w:szCs w:val="28"/>
        </w:rPr>
        <w:t xml:space="preserve"> для даного захворювання в клініці схем</w:t>
      </w:r>
      <w:r>
        <w:rPr>
          <w:sz w:val="28"/>
          <w:szCs w:val="28"/>
        </w:rPr>
        <w:t>ою</w:t>
      </w:r>
      <w:r w:rsidRPr="00063FF3">
        <w:rPr>
          <w:sz w:val="28"/>
          <w:szCs w:val="28"/>
        </w:rPr>
        <w:t>. Якщо в результаті обстеження не буде виявлено протипоказань для участі у випробуваннях, Вам буде призначен</w:t>
      </w:r>
      <w:r>
        <w:rPr>
          <w:sz w:val="28"/>
          <w:szCs w:val="28"/>
        </w:rPr>
        <w:t>е</w:t>
      </w:r>
      <w:r w:rsidRPr="00063FF3">
        <w:rPr>
          <w:sz w:val="28"/>
          <w:szCs w:val="28"/>
        </w:rPr>
        <w:t xml:space="preserve"> лікування.</w:t>
      </w:r>
    </w:p>
    <w:p w:rsidR="003575FE" w:rsidRPr="00063FF3" w:rsidRDefault="003575FE" w:rsidP="003575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Впродовж</w:t>
      </w:r>
      <w:r w:rsidRPr="00063FF3">
        <w:rPr>
          <w:sz w:val="28"/>
          <w:szCs w:val="28"/>
        </w:rPr>
        <w:t xml:space="preserve"> дослідження Ви будете перебувати під постійним спостереженням Вашого лікаря. </w:t>
      </w:r>
      <w:r>
        <w:rPr>
          <w:sz w:val="28"/>
          <w:szCs w:val="28"/>
        </w:rPr>
        <w:t xml:space="preserve">Перед лікуванням, перед кожним курсом хіміотерапії, на </w:t>
      </w:r>
      <w:r>
        <w:rPr>
          <w:sz w:val="28"/>
          <w:szCs w:val="28"/>
          <w:lang w:val="en-US"/>
        </w:rPr>
        <w:t>VII</w:t>
      </w:r>
      <w:r w:rsidRPr="0060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en-US"/>
        </w:rPr>
        <w:t>XIV</w:t>
      </w:r>
      <w:r w:rsidRPr="00600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дні після кожного курсі Вам будуть проводитись певні неінвазивні клініко-лабораторно-інструментальні дослідження з метою визначення токсичного впливу хіміотерапії на Ваш організм. </w:t>
      </w:r>
      <w:r w:rsidRPr="00063FF3">
        <w:rPr>
          <w:sz w:val="28"/>
          <w:szCs w:val="28"/>
        </w:rPr>
        <w:t xml:space="preserve">Після закінчення </w:t>
      </w:r>
      <w:r>
        <w:rPr>
          <w:sz w:val="28"/>
          <w:szCs w:val="28"/>
        </w:rPr>
        <w:t>2, 4</w:t>
      </w:r>
      <w:r w:rsidRPr="00063FF3">
        <w:rPr>
          <w:sz w:val="28"/>
          <w:szCs w:val="28"/>
        </w:rPr>
        <w:t xml:space="preserve"> та 6 курс</w:t>
      </w:r>
      <w:r>
        <w:rPr>
          <w:sz w:val="28"/>
          <w:szCs w:val="28"/>
        </w:rPr>
        <w:t>ів</w:t>
      </w:r>
      <w:r w:rsidRPr="00063FF3">
        <w:rPr>
          <w:sz w:val="28"/>
          <w:szCs w:val="28"/>
        </w:rPr>
        <w:t xml:space="preserve"> лікування Ви будете повторно ретельно обстежені</w:t>
      </w:r>
      <w:r>
        <w:rPr>
          <w:sz w:val="28"/>
          <w:szCs w:val="28"/>
        </w:rPr>
        <w:t xml:space="preserve"> з метою оцінки ефективності лікування</w:t>
      </w:r>
      <w:r w:rsidRPr="00063FF3">
        <w:rPr>
          <w:sz w:val="28"/>
          <w:szCs w:val="28"/>
        </w:rPr>
        <w:t>.</w:t>
      </w:r>
    </w:p>
    <w:p w:rsidR="003575FE" w:rsidRPr="00063FF3" w:rsidRDefault="003575FE" w:rsidP="003575FE">
      <w:p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Після лікування ви будете відвідувати лікарню для проведення </w:t>
      </w:r>
      <w:r>
        <w:rPr>
          <w:sz w:val="28"/>
          <w:szCs w:val="28"/>
        </w:rPr>
        <w:t xml:space="preserve">необхідних </w:t>
      </w:r>
      <w:r w:rsidRPr="00063FF3">
        <w:rPr>
          <w:sz w:val="28"/>
          <w:szCs w:val="28"/>
        </w:rPr>
        <w:t xml:space="preserve">обстежень. Тривалість періоду спостереження буде залежати від тривалості дослідження </w:t>
      </w:r>
      <w:r>
        <w:rPr>
          <w:sz w:val="28"/>
          <w:szCs w:val="28"/>
        </w:rPr>
        <w:t>та</w:t>
      </w:r>
      <w:r w:rsidRPr="00063FF3">
        <w:rPr>
          <w:sz w:val="28"/>
          <w:szCs w:val="28"/>
        </w:rPr>
        <w:t xml:space="preserve"> реакції вашого захворювання на проведену терапію. В середньому пацієнти спостерігаються кожні </w:t>
      </w:r>
      <w:r>
        <w:rPr>
          <w:sz w:val="28"/>
          <w:szCs w:val="28"/>
        </w:rPr>
        <w:t>3</w:t>
      </w:r>
      <w:r w:rsidRPr="00063FF3">
        <w:rPr>
          <w:sz w:val="28"/>
          <w:szCs w:val="28"/>
        </w:rPr>
        <w:t xml:space="preserve"> місяці </w:t>
      </w:r>
      <w:r>
        <w:rPr>
          <w:sz w:val="28"/>
          <w:szCs w:val="28"/>
        </w:rPr>
        <w:t>в</w:t>
      </w:r>
      <w:r w:rsidRPr="00063FF3">
        <w:rPr>
          <w:sz w:val="28"/>
          <w:szCs w:val="28"/>
        </w:rPr>
        <w:t>про</w:t>
      </w:r>
      <w:r>
        <w:rPr>
          <w:sz w:val="28"/>
          <w:szCs w:val="28"/>
        </w:rPr>
        <w:t>д</w:t>
      </w:r>
      <w:r w:rsidRPr="00063FF3">
        <w:rPr>
          <w:sz w:val="28"/>
          <w:szCs w:val="28"/>
        </w:rPr>
        <w:t>о</w:t>
      </w:r>
      <w:r>
        <w:rPr>
          <w:sz w:val="28"/>
          <w:szCs w:val="28"/>
        </w:rPr>
        <w:t>вж</w:t>
      </w:r>
      <w:r w:rsidRPr="00063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першого року, </w:t>
      </w:r>
      <w:r w:rsidRPr="00063FF3">
        <w:rPr>
          <w:sz w:val="28"/>
          <w:szCs w:val="28"/>
        </w:rPr>
        <w:t xml:space="preserve">потім один раз на 6 місяців </w:t>
      </w:r>
      <w:r>
        <w:rPr>
          <w:sz w:val="28"/>
          <w:szCs w:val="28"/>
        </w:rPr>
        <w:t>впрод</w:t>
      </w:r>
      <w:r w:rsidRPr="00063FF3">
        <w:rPr>
          <w:sz w:val="28"/>
          <w:szCs w:val="28"/>
        </w:rPr>
        <w:t>о</w:t>
      </w:r>
      <w:r>
        <w:rPr>
          <w:sz w:val="28"/>
          <w:szCs w:val="28"/>
        </w:rPr>
        <w:t>вж</w:t>
      </w:r>
      <w:r w:rsidRPr="00063FF3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 w:rsidRPr="00063FF3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і в подальшому – щорічно.</w:t>
      </w:r>
    </w:p>
    <w:p w:rsidR="003575FE" w:rsidRPr="001A2706" w:rsidRDefault="003575FE" w:rsidP="003575FE">
      <w:pPr>
        <w:numPr>
          <w:ilvl w:val="12"/>
          <w:numId w:val="0"/>
        </w:numPr>
        <w:ind w:firstLine="607"/>
        <w:jc w:val="both"/>
        <w:rPr>
          <w:b/>
          <w:sz w:val="28"/>
          <w:szCs w:val="28"/>
          <w:u w:val="single"/>
        </w:rPr>
      </w:pPr>
      <w:r w:rsidRPr="001A2706">
        <w:rPr>
          <w:b/>
          <w:sz w:val="28"/>
          <w:szCs w:val="28"/>
          <w:u w:val="single"/>
        </w:rPr>
        <w:t>Побічні явища</w:t>
      </w:r>
    </w:p>
    <w:p w:rsidR="003575FE" w:rsidRPr="00063FF3" w:rsidRDefault="003575FE" w:rsidP="003575FE">
      <w:pPr>
        <w:numPr>
          <w:ilvl w:val="12"/>
          <w:numId w:val="0"/>
        </w:numPr>
        <w:ind w:firstLine="607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Найбільш значимим побічним ефектом поліхіміотерапії є мі</w:t>
      </w:r>
      <w:r>
        <w:rPr>
          <w:sz w:val="28"/>
          <w:szCs w:val="28"/>
        </w:rPr>
        <w:t>є</w:t>
      </w:r>
      <w:r w:rsidRPr="00063FF3">
        <w:rPr>
          <w:sz w:val="28"/>
          <w:szCs w:val="28"/>
        </w:rPr>
        <w:t>лосупресія – зниження утворення клітин кістковим мозком. Це може привести до:</w:t>
      </w:r>
    </w:p>
    <w:p w:rsidR="003575FE" w:rsidRPr="00063FF3" w:rsidRDefault="003575FE" w:rsidP="0035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3FF3">
        <w:rPr>
          <w:sz w:val="28"/>
          <w:szCs w:val="28"/>
        </w:rPr>
        <w:t>зниження кількості лейкоцитів, що підвищує ризик розвитку інфекції;</w:t>
      </w:r>
    </w:p>
    <w:p w:rsidR="003575FE" w:rsidRPr="00063FF3" w:rsidRDefault="003575FE" w:rsidP="0035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3FF3">
        <w:rPr>
          <w:sz w:val="28"/>
          <w:szCs w:val="28"/>
        </w:rPr>
        <w:t>зниження кількості еритроцитів (анемія), що приводить до задишки, слабкості, підвищеної стомлюваності;</w:t>
      </w:r>
    </w:p>
    <w:p w:rsidR="003575FE" w:rsidRPr="00063FF3" w:rsidRDefault="003575FE" w:rsidP="0035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63FF3">
        <w:rPr>
          <w:sz w:val="28"/>
          <w:szCs w:val="28"/>
        </w:rPr>
        <w:t xml:space="preserve">зниження кількості тромбоцитів (клітин, що беруть участь в утворенні тромбів), що може привести до утворення синців </w:t>
      </w:r>
      <w:r>
        <w:rPr>
          <w:sz w:val="28"/>
          <w:szCs w:val="28"/>
        </w:rPr>
        <w:t>та/</w:t>
      </w:r>
      <w:r w:rsidRPr="00063FF3">
        <w:rPr>
          <w:sz w:val="28"/>
          <w:szCs w:val="28"/>
        </w:rPr>
        <w:t>або кровотечі.</w:t>
      </w:r>
    </w:p>
    <w:p w:rsidR="003575FE" w:rsidRDefault="003575FE" w:rsidP="003575FE">
      <w:p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Пригнічення кісткового мозку завжди тимчасове, через деякий час показники крові відновлюються. У деяких випадках воно може потребувати призначення додаткової терапії</w:t>
      </w:r>
      <w:r>
        <w:rPr>
          <w:sz w:val="28"/>
          <w:szCs w:val="28"/>
        </w:rPr>
        <w:t>;</w:t>
      </w:r>
      <w:r w:rsidRPr="00063FF3">
        <w:rPr>
          <w:sz w:val="28"/>
          <w:szCs w:val="28"/>
        </w:rPr>
        <w:t xml:space="preserve"> такої як трансфузія препаратів крові</w:t>
      </w:r>
      <w:r>
        <w:rPr>
          <w:sz w:val="28"/>
          <w:szCs w:val="28"/>
        </w:rPr>
        <w:t xml:space="preserve"> та</w:t>
      </w:r>
      <w:r w:rsidRPr="00063FF3">
        <w:rPr>
          <w:sz w:val="28"/>
          <w:szCs w:val="28"/>
        </w:rPr>
        <w:t xml:space="preserve"> препаратів, які стимулюють відновлення функції кісткового мозку. При трансфузії препаратів крові існує ризик інфікування вірусними інфекціями. На фоні зниженої кількості лейкоцитів існує ризик розвитку інфекційних ускладнень. У випадку розвитку інфекційного процесу вам будуть призначені антибактеріальні засоби. Іноді інфекційне ускладення може бути </w:t>
      </w:r>
      <w:r w:rsidRPr="00063FF3">
        <w:rPr>
          <w:sz w:val="28"/>
          <w:szCs w:val="28"/>
        </w:rPr>
        <w:lastRenderedPageBreak/>
        <w:t>серйозним і потенційно загро</w:t>
      </w:r>
      <w:r>
        <w:rPr>
          <w:sz w:val="28"/>
          <w:szCs w:val="28"/>
        </w:rPr>
        <w:t>жу</w:t>
      </w:r>
      <w:r w:rsidRPr="00063FF3">
        <w:rPr>
          <w:sz w:val="28"/>
          <w:szCs w:val="28"/>
        </w:rPr>
        <w:t>в</w:t>
      </w:r>
      <w:r>
        <w:rPr>
          <w:sz w:val="28"/>
          <w:szCs w:val="28"/>
        </w:rPr>
        <w:t>ат</w:t>
      </w:r>
      <w:r w:rsidRPr="00063FF3">
        <w:rPr>
          <w:sz w:val="28"/>
          <w:szCs w:val="28"/>
        </w:rPr>
        <w:t>и життю</w:t>
      </w:r>
      <w:r>
        <w:rPr>
          <w:sz w:val="28"/>
          <w:szCs w:val="28"/>
        </w:rPr>
        <w:t>.</w:t>
      </w:r>
      <w:r w:rsidRPr="00063FF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63FF3">
        <w:rPr>
          <w:sz w:val="28"/>
          <w:szCs w:val="28"/>
        </w:rPr>
        <w:t>уже важливо розпочати лікування після появи перших ознак інфекційного ускладнення.</w:t>
      </w:r>
    </w:p>
    <w:p w:rsidR="003575FE" w:rsidRPr="00063FF3" w:rsidRDefault="003575FE" w:rsidP="003575FE">
      <w:p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Тому негайно повідомляйте </w:t>
      </w:r>
      <w:r>
        <w:rPr>
          <w:sz w:val="28"/>
          <w:szCs w:val="28"/>
        </w:rPr>
        <w:t>В</w:t>
      </w:r>
      <w:r w:rsidRPr="00063FF3">
        <w:rPr>
          <w:sz w:val="28"/>
          <w:szCs w:val="28"/>
        </w:rPr>
        <w:t>ашо</w:t>
      </w:r>
      <w:r>
        <w:rPr>
          <w:sz w:val="28"/>
          <w:szCs w:val="28"/>
        </w:rPr>
        <w:t>го</w:t>
      </w:r>
      <w:r w:rsidRPr="00063FF3">
        <w:rPr>
          <w:sz w:val="28"/>
          <w:szCs w:val="28"/>
        </w:rPr>
        <w:t xml:space="preserve"> лікар</w:t>
      </w:r>
      <w:r>
        <w:rPr>
          <w:sz w:val="28"/>
          <w:szCs w:val="28"/>
        </w:rPr>
        <w:t>я</w:t>
      </w:r>
      <w:r w:rsidRPr="00063FF3">
        <w:rPr>
          <w:sz w:val="28"/>
          <w:szCs w:val="28"/>
        </w:rPr>
        <w:t xml:space="preserve"> про всі ознаки інфекції, що можуть з’явитися або під час перебування у стаціонарі або у період Вашого перебування вдома.</w:t>
      </w:r>
    </w:p>
    <w:p w:rsidR="003575FE" w:rsidRPr="00063FF3" w:rsidRDefault="003575FE" w:rsidP="003575FE">
      <w:pPr>
        <w:ind w:firstLine="709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Іншими побічними ефектами, що часто зустрічаються є </w:t>
      </w:r>
      <w:r>
        <w:rPr>
          <w:sz w:val="28"/>
          <w:szCs w:val="28"/>
        </w:rPr>
        <w:t xml:space="preserve">нудота, блювання, </w:t>
      </w:r>
      <w:r w:rsidRPr="00063FF3">
        <w:rPr>
          <w:sz w:val="28"/>
          <w:szCs w:val="28"/>
        </w:rPr>
        <w:t>підвищена втомлюваність, слабкість, запалення ротової порожнини (стоматит), загальне знедужання, втрата апетиту, периферична нейропатія (оніміння і слабість кінцівок)</w:t>
      </w:r>
      <w:r>
        <w:rPr>
          <w:sz w:val="28"/>
          <w:szCs w:val="28"/>
        </w:rPr>
        <w:t>,</w:t>
      </w:r>
      <w:r w:rsidRPr="00063FF3">
        <w:rPr>
          <w:sz w:val="28"/>
          <w:szCs w:val="28"/>
        </w:rPr>
        <w:t xml:space="preserve"> шкірні висипання, підвищення рівня печіночних ферментів і білірубін</w:t>
      </w:r>
      <w:r>
        <w:rPr>
          <w:sz w:val="28"/>
          <w:szCs w:val="28"/>
        </w:rPr>
        <w:t>у</w:t>
      </w:r>
      <w:r w:rsidRPr="00063FF3">
        <w:rPr>
          <w:sz w:val="28"/>
          <w:szCs w:val="28"/>
        </w:rPr>
        <w:t>.</w:t>
      </w:r>
    </w:p>
    <w:p w:rsidR="003575FE" w:rsidRPr="00063FF3" w:rsidRDefault="003575FE" w:rsidP="003575FE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Про будь-які зміни самопочуття негайно повідомт</w:t>
      </w:r>
      <w:r>
        <w:rPr>
          <w:sz w:val="28"/>
          <w:szCs w:val="28"/>
        </w:rPr>
        <w:t>е</w:t>
      </w:r>
      <w:r w:rsidRPr="00063FF3">
        <w:rPr>
          <w:sz w:val="28"/>
          <w:szCs w:val="28"/>
        </w:rPr>
        <w:t xml:space="preserve"> лікар</w:t>
      </w:r>
      <w:r>
        <w:rPr>
          <w:sz w:val="28"/>
          <w:szCs w:val="28"/>
        </w:rPr>
        <w:t>я</w:t>
      </w:r>
      <w:r w:rsidRPr="00063FF3">
        <w:rPr>
          <w:sz w:val="28"/>
          <w:szCs w:val="28"/>
        </w:rPr>
        <w:t xml:space="preserve">, </w:t>
      </w:r>
      <w:r>
        <w:rPr>
          <w:sz w:val="28"/>
          <w:szCs w:val="28"/>
        </w:rPr>
        <w:t>який</w:t>
      </w:r>
      <w:r w:rsidRPr="00063FF3">
        <w:rPr>
          <w:sz w:val="28"/>
          <w:szCs w:val="28"/>
        </w:rPr>
        <w:t xml:space="preserve"> проводить дослідження.</w:t>
      </w:r>
    </w:p>
    <w:p w:rsidR="003575FE" w:rsidRDefault="003575FE" w:rsidP="003575FE">
      <w:pPr>
        <w:numPr>
          <w:ilvl w:val="12"/>
          <w:numId w:val="0"/>
        </w:numPr>
        <w:ind w:firstLine="607"/>
        <w:jc w:val="both"/>
        <w:rPr>
          <w:b/>
          <w:sz w:val="28"/>
          <w:szCs w:val="28"/>
          <w:u w:val="single"/>
        </w:rPr>
      </w:pPr>
      <w:r w:rsidRPr="00063FF3">
        <w:rPr>
          <w:b/>
          <w:sz w:val="28"/>
          <w:szCs w:val="28"/>
          <w:u w:val="single"/>
        </w:rPr>
        <w:t>Етичні й правові аспекти дослідження.</w:t>
      </w:r>
    </w:p>
    <w:p w:rsidR="003575FE" w:rsidRPr="001A2706" w:rsidRDefault="003575FE" w:rsidP="003575FE">
      <w:pPr>
        <w:numPr>
          <w:ilvl w:val="12"/>
          <w:numId w:val="0"/>
        </w:numPr>
        <w:ind w:firstLine="607"/>
        <w:jc w:val="both"/>
        <w:rPr>
          <w:sz w:val="28"/>
          <w:szCs w:val="28"/>
        </w:rPr>
      </w:pPr>
      <w:r w:rsidRPr="001A2706">
        <w:rPr>
          <w:sz w:val="28"/>
          <w:szCs w:val="28"/>
        </w:rPr>
        <w:t>Ви повинні знати наступне:</w:t>
      </w:r>
    </w:p>
    <w:p w:rsidR="003575FE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дане дослідження буде проводитися відповідно до нормативної законодавчої бази України </w:t>
      </w:r>
      <w:r>
        <w:rPr>
          <w:sz w:val="28"/>
          <w:szCs w:val="28"/>
        </w:rPr>
        <w:t>та</w:t>
      </w:r>
      <w:r w:rsidRPr="00063FF3">
        <w:rPr>
          <w:sz w:val="28"/>
          <w:szCs w:val="28"/>
        </w:rPr>
        <w:t xml:space="preserve"> принципів </w:t>
      </w:r>
      <w:r>
        <w:rPr>
          <w:sz w:val="28"/>
          <w:szCs w:val="28"/>
        </w:rPr>
        <w:t>Х</w:t>
      </w:r>
      <w:r w:rsidRPr="00063FF3">
        <w:rPr>
          <w:sz w:val="28"/>
          <w:szCs w:val="28"/>
        </w:rPr>
        <w:t>ельсінської Декларації;</w:t>
      </w:r>
    </w:p>
    <w:p w:rsidR="003575FE" w:rsidRPr="00063FF3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рішення про участь у дослідженні повинне бути прийняте Вами добровільно й не вплине на Ваші взаємини з лікарем;</w:t>
      </w:r>
    </w:p>
    <w:p w:rsidR="003575FE" w:rsidRPr="00063FF3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Ви можете додатково проконсультуватися з приводу дослідження </w:t>
      </w:r>
      <w:r>
        <w:rPr>
          <w:sz w:val="28"/>
          <w:szCs w:val="28"/>
        </w:rPr>
        <w:t>у</w:t>
      </w:r>
      <w:r w:rsidRPr="00063FF3">
        <w:rPr>
          <w:sz w:val="28"/>
          <w:szCs w:val="28"/>
        </w:rPr>
        <w:t xml:space="preserve"> іншого лікаря до того, як Ви вирішите брати участь у дослідженні;</w:t>
      </w:r>
    </w:p>
    <w:p w:rsidR="003575FE" w:rsidRPr="00063FF3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>Ви можете в будь-який момент перервати участь у дослідженні без пояснення причини, і це не відіб'ється на Вашому подальшому лікуванні;</w:t>
      </w:r>
    </w:p>
    <w:p w:rsidR="003575FE" w:rsidRPr="00063FF3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факт Вашої участі в дослідженні є конфіденційним. У звітах будуть використані тільки Ваш ініціали </w:t>
      </w:r>
      <w:r>
        <w:rPr>
          <w:sz w:val="28"/>
          <w:szCs w:val="28"/>
        </w:rPr>
        <w:t>та</w:t>
      </w:r>
      <w:r w:rsidRPr="00063FF3">
        <w:rPr>
          <w:sz w:val="28"/>
          <w:szCs w:val="28"/>
        </w:rPr>
        <w:t xml:space="preserve"> ідентифікаційний номер;</w:t>
      </w:r>
    </w:p>
    <w:p w:rsidR="003575FE" w:rsidRPr="00063FF3" w:rsidRDefault="003575FE" w:rsidP="003575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Ваша згода на участь у </w:t>
      </w:r>
      <w:r>
        <w:rPr>
          <w:sz w:val="28"/>
          <w:szCs w:val="28"/>
        </w:rPr>
        <w:t>науково-</w:t>
      </w:r>
      <w:r w:rsidRPr="00063FF3">
        <w:rPr>
          <w:sz w:val="28"/>
          <w:szCs w:val="28"/>
        </w:rPr>
        <w:t>дослідні</w:t>
      </w:r>
      <w:r>
        <w:rPr>
          <w:sz w:val="28"/>
          <w:szCs w:val="28"/>
        </w:rPr>
        <w:t>й роботі</w:t>
      </w:r>
      <w:r w:rsidRPr="00063FF3">
        <w:rPr>
          <w:sz w:val="28"/>
          <w:szCs w:val="28"/>
        </w:rPr>
        <w:t xml:space="preserve"> буде підтверджен</w:t>
      </w:r>
      <w:r>
        <w:rPr>
          <w:sz w:val="28"/>
          <w:szCs w:val="28"/>
        </w:rPr>
        <w:t>а</w:t>
      </w:r>
      <w:r w:rsidRPr="00063FF3">
        <w:rPr>
          <w:sz w:val="28"/>
          <w:szCs w:val="28"/>
        </w:rPr>
        <w:t xml:space="preserve"> Вашим підписом у спеціальній формі письмової згоди.</w:t>
      </w:r>
    </w:p>
    <w:p w:rsidR="003575FE" w:rsidRPr="00063FF3" w:rsidRDefault="003575FE" w:rsidP="003575FE">
      <w:pPr>
        <w:numPr>
          <w:ilvl w:val="12"/>
          <w:numId w:val="0"/>
        </w:numPr>
        <w:ind w:firstLine="607"/>
        <w:jc w:val="both"/>
        <w:rPr>
          <w:sz w:val="28"/>
          <w:szCs w:val="28"/>
        </w:rPr>
      </w:pPr>
    </w:p>
    <w:p w:rsidR="003575FE" w:rsidRPr="001A2706" w:rsidRDefault="003575FE" w:rsidP="003575FE">
      <w:pPr>
        <w:numPr>
          <w:ilvl w:val="12"/>
          <w:numId w:val="0"/>
        </w:numPr>
        <w:ind w:firstLine="720"/>
        <w:jc w:val="both"/>
        <w:rPr>
          <w:b/>
          <w:sz w:val="28"/>
          <w:szCs w:val="28"/>
          <w:u w:val="single"/>
        </w:rPr>
      </w:pPr>
      <w:r w:rsidRPr="001A2706">
        <w:rPr>
          <w:b/>
          <w:sz w:val="28"/>
          <w:szCs w:val="28"/>
          <w:u w:val="single"/>
        </w:rPr>
        <w:t>Особи для контакту</w:t>
      </w:r>
    </w:p>
    <w:p w:rsidR="003575FE" w:rsidRPr="00063FF3" w:rsidRDefault="003575FE" w:rsidP="003575FE">
      <w:pPr>
        <w:numPr>
          <w:ilvl w:val="12"/>
          <w:numId w:val="0"/>
        </w:numPr>
        <w:ind w:firstLine="720"/>
        <w:jc w:val="both"/>
        <w:rPr>
          <w:sz w:val="28"/>
          <w:szCs w:val="28"/>
        </w:rPr>
      </w:pPr>
      <w:r w:rsidRPr="00063FF3">
        <w:rPr>
          <w:sz w:val="28"/>
          <w:szCs w:val="28"/>
        </w:rPr>
        <w:t xml:space="preserve">У будь-який час </w:t>
      </w:r>
      <w:r>
        <w:rPr>
          <w:sz w:val="28"/>
          <w:szCs w:val="28"/>
        </w:rPr>
        <w:t>в</w:t>
      </w:r>
      <w:r w:rsidRPr="00063FF3">
        <w:rPr>
          <w:sz w:val="28"/>
          <w:szCs w:val="28"/>
        </w:rPr>
        <w:t>про</w:t>
      </w:r>
      <w:r>
        <w:rPr>
          <w:sz w:val="28"/>
          <w:szCs w:val="28"/>
        </w:rPr>
        <w:t>д</w:t>
      </w:r>
      <w:r w:rsidRPr="00063FF3">
        <w:rPr>
          <w:sz w:val="28"/>
          <w:szCs w:val="28"/>
        </w:rPr>
        <w:t>о</w:t>
      </w:r>
      <w:r>
        <w:rPr>
          <w:sz w:val="28"/>
          <w:szCs w:val="28"/>
        </w:rPr>
        <w:t>вж</w:t>
      </w:r>
      <w:r w:rsidRPr="00063FF3">
        <w:rPr>
          <w:sz w:val="28"/>
          <w:szCs w:val="28"/>
        </w:rPr>
        <w:t xml:space="preserve"> дослідження Ви будете перебувати під спостереженням лікаря. Якщо у Вас з'явилися додаткові питання щодо дослідження, а також у випадку по</w:t>
      </w:r>
      <w:r>
        <w:rPr>
          <w:sz w:val="28"/>
          <w:szCs w:val="28"/>
        </w:rPr>
        <w:t>гіршення</w:t>
      </w:r>
      <w:r w:rsidRPr="00063FF3">
        <w:rPr>
          <w:sz w:val="28"/>
          <w:szCs w:val="28"/>
        </w:rPr>
        <w:t xml:space="preserve"> </w:t>
      </w:r>
      <w:r>
        <w:rPr>
          <w:sz w:val="28"/>
          <w:szCs w:val="28"/>
        </w:rPr>
        <w:t>самопочуття</w:t>
      </w:r>
      <w:r w:rsidRPr="00063F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негайно </w:t>
      </w:r>
      <w:r w:rsidRPr="00063FF3">
        <w:rPr>
          <w:sz w:val="28"/>
          <w:szCs w:val="28"/>
        </w:rPr>
        <w:t>зв'яжіться з Вашим лікарем:</w:t>
      </w:r>
    </w:p>
    <w:p w:rsidR="003575FE" w:rsidRDefault="003575FE" w:rsidP="003575FE">
      <w:pPr>
        <w:numPr>
          <w:ilvl w:val="12"/>
          <w:numId w:val="0"/>
        </w:numPr>
        <w:spacing w:line="360" w:lineRule="auto"/>
        <w:ind w:firstLine="607"/>
        <w:jc w:val="both"/>
        <w:rPr>
          <w:sz w:val="28"/>
          <w:szCs w:val="28"/>
        </w:rPr>
      </w:pPr>
    </w:p>
    <w:p w:rsidR="003575FE" w:rsidRPr="00063FF3" w:rsidRDefault="003575FE" w:rsidP="003575FE">
      <w:pPr>
        <w:numPr>
          <w:ilvl w:val="12"/>
          <w:numId w:val="0"/>
        </w:numPr>
        <w:spacing w:line="360" w:lineRule="auto"/>
        <w:ind w:firstLine="60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3FF3">
        <w:rPr>
          <w:sz w:val="28"/>
          <w:szCs w:val="28"/>
        </w:rPr>
        <w:t>.І.П. лікаря __________________________________</w:t>
      </w:r>
    </w:p>
    <w:p w:rsidR="003575FE" w:rsidRPr="001A2706" w:rsidRDefault="003575FE" w:rsidP="003575FE">
      <w:pPr>
        <w:numPr>
          <w:ilvl w:val="12"/>
          <w:numId w:val="0"/>
        </w:numPr>
        <w:spacing w:line="360" w:lineRule="auto"/>
        <w:ind w:firstLine="607"/>
        <w:jc w:val="both"/>
        <w:rPr>
          <w:sz w:val="28"/>
          <w:szCs w:val="28"/>
        </w:rPr>
      </w:pPr>
      <w:r w:rsidRPr="001A2706">
        <w:rPr>
          <w:sz w:val="28"/>
          <w:szCs w:val="28"/>
        </w:rPr>
        <w:t>Телефон ______________________</w:t>
      </w:r>
    </w:p>
    <w:p w:rsidR="00B9231F" w:rsidRPr="003575FE" w:rsidRDefault="00B9231F" w:rsidP="003575FE">
      <w:pPr>
        <w:rPr>
          <w:szCs w:val="28"/>
        </w:rPr>
      </w:pPr>
    </w:p>
    <w:sectPr w:rsidR="00B9231F" w:rsidRPr="003575FE" w:rsidSect="005453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E8" w:rsidRDefault="00FE4AE8" w:rsidP="00967596">
      <w:r>
        <w:separator/>
      </w:r>
    </w:p>
  </w:endnote>
  <w:endnote w:type="continuationSeparator" w:id="1">
    <w:p w:rsidR="00FE4AE8" w:rsidRDefault="00FE4AE8" w:rsidP="0096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E8" w:rsidRDefault="00FE4AE8" w:rsidP="00967596">
      <w:r>
        <w:separator/>
      </w:r>
    </w:p>
  </w:footnote>
  <w:footnote w:type="continuationSeparator" w:id="1">
    <w:p w:rsidR="00FE4AE8" w:rsidRDefault="00FE4AE8" w:rsidP="0096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6565"/>
      <w:docPartObj>
        <w:docPartGallery w:val="Page Numbers (Top of Page)"/>
        <w:docPartUnique/>
      </w:docPartObj>
    </w:sdtPr>
    <w:sdtContent>
      <w:p w:rsidR="00967596" w:rsidRDefault="0077636C">
        <w:pPr>
          <w:pStyle w:val="a3"/>
          <w:jc w:val="right"/>
        </w:pPr>
        <w:fldSimple w:instr=" PAGE   \* MERGEFORMAT ">
          <w:r w:rsidR="003575FE">
            <w:rPr>
              <w:noProof/>
            </w:rPr>
            <w:t>1</w:t>
          </w:r>
        </w:fldSimple>
      </w:p>
    </w:sdtContent>
  </w:sdt>
  <w:p w:rsidR="00967596" w:rsidRDefault="009675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D29"/>
    <w:multiLevelType w:val="hybridMultilevel"/>
    <w:tmpl w:val="34A2BBA8"/>
    <w:lvl w:ilvl="0" w:tplc="041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1F"/>
    <w:rsid w:val="000D592D"/>
    <w:rsid w:val="00137349"/>
    <w:rsid w:val="00140241"/>
    <w:rsid w:val="001462C5"/>
    <w:rsid w:val="00175021"/>
    <w:rsid w:val="00182CF9"/>
    <w:rsid w:val="00282324"/>
    <w:rsid w:val="003575FE"/>
    <w:rsid w:val="003C237D"/>
    <w:rsid w:val="003C7C55"/>
    <w:rsid w:val="005453EF"/>
    <w:rsid w:val="00600853"/>
    <w:rsid w:val="006C2C4D"/>
    <w:rsid w:val="0077636C"/>
    <w:rsid w:val="007E6522"/>
    <w:rsid w:val="00821AA1"/>
    <w:rsid w:val="00825F30"/>
    <w:rsid w:val="008654C1"/>
    <w:rsid w:val="009123CC"/>
    <w:rsid w:val="00967596"/>
    <w:rsid w:val="00B9231F"/>
    <w:rsid w:val="00C74D1E"/>
    <w:rsid w:val="00D01F19"/>
    <w:rsid w:val="00D95082"/>
    <w:rsid w:val="00DA15B9"/>
    <w:rsid w:val="00DD1D7A"/>
    <w:rsid w:val="00E5272E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B9231F"/>
    <w:pPr>
      <w:keepNext/>
      <w:spacing w:line="360" w:lineRule="auto"/>
      <w:jc w:val="center"/>
    </w:pPr>
    <w:rPr>
      <w:b/>
      <w:sz w:val="28"/>
      <w:lang w:val="ru-RU"/>
    </w:rPr>
  </w:style>
  <w:style w:type="paragraph" w:customStyle="1" w:styleId="3">
    <w:name w:val="çàãîëîâîê 3"/>
    <w:basedOn w:val="a"/>
    <w:next w:val="a"/>
    <w:rsid w:val="00B9231F"/>
    <w:pPr>
      <w:keepNext/>
      <w:spacing w:line="360" w:lineRule="auto"/>
      <w:jc w:val="center"/>
    </w:pPr>
    <w:rPr>
      <w:b/>
      <w:sz w:val="24"/>
      <w:lang w:val="ru-RU"/>
    </w:rPr>
  </w:style>
  <w:style w:type="paragraph" w:customStyle="1" w:styleId="6">
    <w:name w:val="заголовок 6"/>
    <w:basedOn w:val="a"/>
    <w:next w:val="a"/>
    <w:rsid w:val="00B9231F"/>
    <w:pPr>
      <w:keepNext/>
      <w:spacing w:line="360" w:lineRule="auto"/>
      <w:ind w:left="113" w:right="170"/>
      <w:jc w:val="right"/>
    </w:pPr>
    <w:rPr>
      <w:b/>
      <w:snapToGrid w:val="0"/>
      <w:sz w:val="24"/>
      <w:lang w:val="ru-RU"/>
    </w:rPr>
  </w:style>
  <w:style w:type="paragraph" w:styleId="a3">
    <w:name w:val="header"/>
    <w:basedOn w:val="a"/>
    <w:link w:val="a4"/>
    <w:uiPriority w:val="99"/>
    <w:unhideWhenUsed/>
    <w:rsid w:val="009675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5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67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75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59"/>
    <w:rsid w:val="00137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01F1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01F1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2013-12-11T11:24:00Z</dcterms:created>
  <dcterms:modified xsi:type="dcterms:W3CDTF">2013-12-23T09:33:00Z</dcterms:modified>
</cp:coreProperties>
</file>